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8B" w:rsidRPr="00381B8B" w:rsidRDefault="00381B8B" w:rsidP="00381B8B">
      <w:pPr>
        <w:rPr>
          <w:b/>
          <w:sz w:val="24"/>
          <w:szCs w:val="24"/>
        </w:rPr>
      </w:pPr>
      <w:r w:rsidRPr="00381B8B">
        <w:rPr>
          <w:b/>
          <w:sz w:val="24"/>
          <w:szCs w:val="24"/>
        </w:rPr>
        <w:t>Semestrálna práca – prieskum vegetácie vo vzťahu ku prostrediu</w:t>
      </w:r>
    </w:p>
    <w:p w:rsidR="00381B8B" w:rsidRPr="00381B8B" w:rsidRDefault="00381B8B" w:rsidP="00381B8B">
      <w:pPr>
        <w:rPr>
          <w:b/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  <w:r w:rsidRPr="00381B8B">
        <w:rPr>
          <w:sz w:val="24"/>
          <w:szCs w:val="24"/>
        </w:rPr>
        <w:t xml:space="preserve">Predmetom tohto typu semestrálnej práce je vykonanie zjednodušeného terénneho prieskumu prírodného prostredia a rastlín vo vybranom území, interpretácia vzťahov medzi zistenými údajmi a vypracovanie elaborátu z tohto prieskumu. Cieľom je porozumenie úzkeho vzťahu medzi rastlinnými druhmi a vlastnosťami prostredia. 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  <w:u w:val="single"/>
        </w:rPr>
      </w:pPr>
      <w:r w:rsidRPr="00381B8B">
        <w:rPr>
          <w:sz w:val="24"/>
          <w:szCs w:val="24"/>
          <w:u w:val="single"/>
        </w:rPr>
        <w:t>Bližšia špecifikácia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  <w:r w:rsidRPr="00381B8B">
        <w:rPr>
          <w:sz w:val="24"/>
          <w:szCs w:val="24"/>
        </w:rPr>
        <w:t xml:space="preserve">Študent si vyberie lesný porast (jednu JPRL – jednotka priestorového rozdelenia lesa) na základe podkladov z lesníckych máp (dostupné napr. na portály </w:t>
      </w:r>
      <w:hyperlink r:id="rId5" w:history="1">
        <w:r w:rsidRPr="00381B8B">
          <w:rPr>
            <w:rStyle w:val="Hypertextovprepojenie"/>
            <w:sz w:val="24"/>
            <w:szCs w:val="24"/>
          </w:rPr>
          <w:t>http://gis.nlcsk.org/lgis/</w:t>
        </w:r>
      </w:hyperlink>
      <w:r w:rsidRPr="00381B8B">
        <w:rPr>
          <w:sz w:val="24"/>
          <w:szCs w:val="24"/>
        </w:rPr>
        <w:t>), ktorý spĺňa nasledovné podmienky: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>vek nad 60 rokov</w:t>
      </w:r>
    </w:p>
    <w:p w:rsidR="00381B8B" w:rsidRPr="00381B8B" w:rsidRDefault="00381B8B" w:rsidP="00381B8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>relatívne homogénne zastúpenie drevín, teda výrazne dominuje jeden druh dreviny (napr. buk nad 70 %, ostatné dreviny sú len primiešané do 30 %). Prípustná je aj porastová zmes, ale v pravidelnom jednotlivom zmiešaní drevín, teda jednotlivé druhy drevín nemajú byť koncentrované v rámci JPRL do skupín.</w:t>
      </w:r>
    </w:p>
    <w:p w:rsidR="00381B8B" w:rsidRPr="00381B8B" w:rsidRDefault="00381B8B" w:rsidP="00381B8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>porast má relatívne homogénnu štruktúru, teda nie sú prítomné prvky, ktoré by štruktúru porastu výrazne narúšali, napríklad obnovné prvky (ruby), porastové medzery po disturbanciách (napr. lykožrútová alebo vetrová kalamita)</w:t>
      </w:r>
    </w:p>
    <w:p w:rsidR="00381B8B" w:rsidRPr="00381B8B" w:rsidRDefault="00381B8B" w:rsidP="00381B8B">
      <w:pPr>
        <w:ind w:left="720"/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  <w:r w:rsidRPr="00381B8B">
        <w:rPr>
          <w:sz w:val="24"/>
          <w:szCs w:val="24"/>
        </w:rPr>
        <w:t xml:space="preserve">Pri vykonávaní terénnych záznamov je potrebné vyhýbať sa atypickým mikrostanovištiam, napríklad lesným prameniskám, bralám, lesným cestám alebo už spomínaným porastovým medzerám.     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  <w:r w:rsidRPr="00381B8B">
        <w:rPr>
          <w:sz w:val="24"/>
          <w:szCs w:val="24"/>
        </w:rPr>
        <w:t>Terénne záznamy budú obsahovať nasledujúce charakteristiky: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>základné vlastnosti terénu a stanovišťa: opis reliéfu, odhad sklonu a orientácie svahu, nadmorská výška, prítomnosť výrazných terénnych prvkov ako bralá, suť a pod.</w:t>
      </w:r>
    </w:p>
    <w:p w:rsidR="00381B8B" w:rsidRPr="00381B8B" w:rsidRDefault="00381B8B" w:rsidP="00381B8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 xml:space="preserve">charakteristika geologického podložia vrátane informácií podmieňujúcich charakter pôdy (napr. typ sedimentu – aluviálne, deluviálne, eluviálne a pod., skeletnatosť pôdy), prípadne identifikácia pôdneho typu na základe pôdneho zákopku. Pomôckou je portál </w:t>
      </w:r>
      <w:hyperlink r:id="rId6" w:history="1">
        <w:r w:rsidRPr="00381B8B">
          <w:rPr>
            <w:rStyle w:val="Hypertextovprepojenie"/>
            <w:sz w:val="24"/>
            <w:szCs w:val="24"/>
          </w:rPr>
          <w:t>http://mapserver.geology.sk/gm50js/</w:t>
        </w:r>
      </w:hyperlink>
      <w:r w:rsidRPr="00381B8B">
        <w:rPr>
          <w:sz w:val="24"/>
          <w:szCs w:val="24"/>
        </w:rPr>
        <w:t xml:space="preserve">. </w:t>
      </w:r>
    </w:p>
    <w:p w:rsidR="00381B8B" w:rsidRPr="00381B8B" w:rsidRDefault="00381B8B" w:rsidP="00381B8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 xml:space="preserve">drevinové zloženie: celkovú pokryvnosť vrstiev drevín, resp. zápoj a odhad zastúpenia jednotlivých drevín. Pri hodnotení sa berú do úvahy len jedince s výškou nad h/2 (h = priemerná výška porastu). Zastúpenie drevín má sumárne vždy 100 %.   </w:t>
      </w:r>
    </w:p>
    <w:p w:rsidR="00381B8B" w:rsidRPr="00381B8B" w:rsidRDefault="00381B8B" w:rsidP="00381B8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>čo najkompletnejší zoznam prítomných rastlín. V prípade nejasností pri determinácii taxónov je potrebná konzultácia s vyučujúcim predmetu. Pre jednotlivé druhy je možné odhadnúť ich množstvo, zvyčajne vyjadrené pokryvnosťou.</w:t>
      </w:r>
    </w:p>
    <w:p w:rsidR="00381B8B" w:rsidRPr="00381B8B" w:rsidRDefault="00381B8B" w:rsidP="00381B8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>fotodokumentácia: dokumentačné fotografie štruktúry porastu, typického charakteru reliéfu, bylinného podrastu, prípadne pôdneho zákopku.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  <w:r w:rsidRPr="00381B8B">
        <w:rPr>
          <w:sz w:val="24"/>
          <w:szCs w:val="24"/>
        </w:rPr>
        <w:t xml:space="preserve">Údaje získané v teréne sa musia vzťahovať priamo na miesto prieskumu. Je absolútne nevhodné uvádzať informácie pre širšie územie, napríklad geologické podložie pre celé pohorie a podobne. Okrem údajov získaných v teréne, je potrebné doplniť ďalšie dôležité charakteristiky prírodných podmienok, a to najmä informácie o klíme (priemerná ročná teplota, priemerné ročné úhrny zrážok a pod.), prirodzenej vegetácii a podobne. Takéto charakteristiky je možné zistiť napríklad z Atlasu krajiny SR, ktorý je dostupný aj on-line na </w:t>
      </w:r>
      <w:hyperlink r:id="rId7" w:history="1">
        <w:r w:rsidRPr="00381B8B">
          <w:rPr>
            <w:rStyle w:val="Hypertextovprepojenie"/>
            <w:sz w:val="24"/>
            <w:szCs w:val="24"/>
          </w:rPr>
          <w:t>https://geo.enviroportal.sk/atlassr/</w:t>
        </w:r>
      </w:hyperlink>
      <w:r w:rsidRPr="00381B8B">
        <w:rPr>
          <w:sz w:val="24"/>
          <w:szCs w:val="24"/>
        </w:rPr>
        <w:t xml:space="preserve">.  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  <w:r w:rsidRPr="00381B8B">
        <w:rPr>
          <w:sz w:val="24"/>
          <w:szCs w:val="24"/>
        </w:rPr>
        <w:t xml:space="preserve">Na základe zoznamu prítomných rastlín budú vypracované nasledovné charakteristiky: 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numPr>
          <w:ilvl w:val="0"/>
          <w:numId w:val="3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 xml:space="preserve">priemerné Ellenbergove indikačné hodnoty. </w:t>
      </w:r>
      <w:r w:rsidRPr="00381B8B">
        <w:rPr>
          <w:sz w:val="24"/>
          <w:szCs w:val="24"/>
        </w:rPr>
        <w:t>Hodnoty aj postup výpočtu je uvedený v návodoch na cvičenia.</w:t>
      </w:r>
      <w:r w:rsidRPr="00381B8B">
        <w:rPr>
          <w:sz w:val="24"/>
          <w:szCs w:val="24"/>
        </w:rPr>
        <w:t xml:space="preserve"> Výpočet môže byť prevedený aj bez využitia hodnôt pokryvnosti ako váhy vo váženom aritmetickom priemere.  </w:t>
      </w:r>
    </w:p>
    <w:p w:rsidR="00381B8B" w:rsidRPr="00381B8B" w:rsidRDefault="00381B8B" w:rsidP="00381B8B">
      <w:pPr>
        <w:numPr>
          <w:ilvl w:val="0"/>
          <w:numId w:val="3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>zastúpenie ekologických skupín rastlín</w:t>
      </w:r>
    </w:p>
    <w:p w:rsidR="00381B8B" w:rsidRPr="00381B8B" w:rsidRDefault="00381B8B" w:rsidP="00381B8B">
      <w:pPr>
        <w:numPr>
          <w:ilvl w:val="0"/>
          <w:numId w:val="3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 xml:space="preserve">zastúpenie životných foriem a životných (binomických) stratégií rastlín </w:t>
      </w:r>
    </w:p>
    <w:p w:rsidR="00381B8B" w:rsidRPr="00381B8B" w:rsidRDefault="00381B8B" w:rsidP="00381B8B">
      <w:pPr>
        <w:numPr>
          <w:ilvl w:val="0"/>
          <w:numId w:val="3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>vyjadrenie svetelných podmienok prostredníctvom hodnôt zápoja a výpočtu indexu zatienenia (Tabuľka</w:t>
      </w:r>
      <w:r w:rsidRPr="00381B8B">
        <w:rPr>
          <w:sz w:val="24"/>
          <w:szCs w:val="24"/>
        </w:rPr>
        <w:t xml:space="preserve"> 1</w:t>
      </w:r>
      <w:r w:rsidRPr="00381B8B">
        <w:rPr>
          <w:sz w:val="24"/>
          <w:szCs w:val="24"/>
        </w:rPr>
        <w:t>) pre jednotlivé druhy drevín vážených hodnotami zastúpenia drevín</w:t>
      </w:r>
    </w:p>
    <w:p w:rsidR="00381B8B" w:rsidRPr="00381B8B" w:rsidRDefault="00381B8B" w:rsidP="00381B8B">
      <w:pPr>
        <w:numPr>
          <w:ilvl w:val="0"/>
          <w:numId w:val="3"/>
        </w:numPr>
        <w:overflowPunct/>
        <w:autoSpaceDE/>
        <w:autoSpaceDN/>
        <w:adjustRightInd/>
        <w:spacing w:after="120"/>
        <w:ind w:left="714" w:hanging="357"/>
        <w:textAlignment w:val="auto"/>
        <w:rPr>
          <w:sz w:val="24"/>
          <w:szCs w:val="24"/>
        </w:rPr>
      </w:pPr>
      <w:r w:rsidRPr="00381B8B">
        <w:rPr>
          <w:sz w:val="24"/>
          <w:szCs w:val="24"/>
        </w:rPr>
        <w:t xml:space="preserve">stanovenie kvality opadu </w:t>
      </w:r>
    </w:p>
    <w:p w:rsidR="00381B8B" w:rsidRPr="00381B8B" w:rsidRDefault="00381B8B" w:rsidP="00381B8B">
      <w:pPr>
        <w:ind w:left="720"/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  <w:r w:rsidRPr="00381B8B">
        <w:rPr>
          <w:sz w:val="24"/>
          <w:szCs w:val="24"/>
        </w:rPr>
        <w:t xml:space="preserve">Všetky dostupné údaje a dosiahnuté výsledky pre konkrétnu lokalitu, budú spracované s výsledkami iného študenta z inej lokality. Takto dôjde ku porovnaniu druhového zloženia vegetácie a stanovištných podmienok z dvoch odlišných lokalít. Pri výbere párov je potrebné dosiahnuť čo najvyšší kontrast v prírodných podmienkach a drevinovom zložení medzi porovnávanými lokalitami (napríklad horská smrečina vs. dubina na nížine), aby boli pri porovnaní zistené čo najvýraznejšie a jasne interpretovateľné rozdiely. Odlišnosti v druhovom zložení vegetácie, v zastúpení ekologických skupín rastlín a podobne, je potrebné interpretovať v kontexte zistených environmentálnych charakteristík (klíma, geologické podložie, drevinové zloženie a pod.). 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2"/>
          <w:szCs w:val="22"/>
        </w:rPr>
      </w:pPr>
      <w:r w:rsidRPr="00381B8B">
        <w:rPr>
          <w:sz w:val="22"/>
          <w:szCs w:val="22"/>
        </w:rPr>
        <w:t>Tabuľka 1</w:t>
      </w:r>
      <w:r w:rsidRPr="00381B8B">
        <w:rPr>
          <w:sz w:val="22"/>
          <w:szCs w:val="22"/>
        </w:rPr>
        <w:t xml:space="preserve">: Hodnoty indexov zatienenia podkorunového priestoru a kvality opadu. Index zatienenia vyjadruje, do akej miery drevina zatieňuje podkorunový priestor a bol odvodený od indexu listovej plochy dospelého materského porastu s monodominantným zastúpením konkrétnej dreviny. Index kvality opadu vyjadruje rýchlosť rozkladu opadu konkrétnej dreviny. Hodnoty pre index zatienenia sú uvádzané na základe práce </w:t>
      </w:r>
      <w:r w:rsidRPr="00381B8B">
        <w:rPr>
          <w:smallCaps/>
          <w:sz w:val="22"/>
          <w:szCs w:val="22"/>
        </w:rPr>
        <w:t>Ellenberg</w:t>
      </w:r>
      <w:r w:rsidRPr="00381B8B">
        <w:rPr>
          <w:sz w:val="22"/>
          <w:szCs w:val="22"/>
        </w:rPr>
        <w:t xml:space="preserve"> (1996) a spolu s hodnotami indexu kvality opadu prevzaté z prác </w:t>
      </w:r>
      <w:r w:rsidRPr="00381B8B">
        <w:rPr>
          <w:smallCaps/>
          <w:sz w:val="22"/>
          <w:szCs w:val="22"/>
        </w:rPr>
        <w:t>Baeten</w:t>
      </w:r>
      <w:r w:rsidRPr="00381B8B">
        <w:rPr>
          <w:sz w:val="22"/>
          <w:szCs w:val="22"/>
        </w:rPr>
        <w:t xml:space="preserve"> et al. (2009), </w:t>
      </w:r>
      <w:r w:rsidRPr="00381B8B">
        <w:rPr>
          <w:smallCaps/>
          <w:sz w:val="22"/>
          <w:szCs w:val="22"/>
        </w:rPr>
        <w:t>Van Calster</w:t>
      </w:r>
      <w:r w:rsidRPr="00381B8B">
        <w:rPr>
          <w:sz w:val="22"/>
          <w:szCs w:val="22"/>
        </w:rPr>
        <w:t xml:space="preserve"> et al. 2008, </w:t>
      </w:r>
      <w:r w:rsidRPr="00381B8B">
        <w:rPr>
          <w:smallCaps/>
          <w:sz w:val="22"/>
          <w:szCs w:val="22"/>
        </w:rPr>
        <w:t>Verheyen</w:t>
      </w:r>
      <w:r w:rsidRPr="00381B8B">
        <w:rPr>
          <w:sz w:val="22"/>
          <w:szCs w:val="22"/>
        </w:rPr>
        <w:t xml:space="preserve"> et al. 2011. Pre druhy označné *, boli hodnoty indexu zatienenia stanovené odborným odhadom autorov. </w:t>
      </w:r>
    </w:p>
    <w:p w:rsidR="00381B8B" w:rsidRPr="00381B8B" w:rsidRDefault="00381B8B" w:rsidP="00381B8B">
      <w:pPr>
        <w:rPr>
          <w:sz w:val="22"/>
          <w:szCs w:val="22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074"/>
        <w:gridCol w:w="991"/>
        <w:gridCol w:w="2187"/>
        <w:gridCol w:w="1074"/>
        <w:gridCol w:w="1194"/>
      </w:tblGrid>
      <w:tr w:rsidR="00381B8B" w:rsidRPr="00381B8B" w:rsidTr="006C5F32">
        <w:trPr>
          <w:trHeight w:val="28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B8B" w:rsidRPr="00381B8B" w:rsidRDefault="00381B8B" w:rsidP="00381B8B">
            <w:pPr>
              <w:rPr>
                <w:sz w:val="22"/>
                <w:szCs w:val="22"/>
              </w:rPr>
            </w:pPr>
            <w:r w:rsidRPr="00381B8B">
              <w:rPr>
                <w:sz w:val="22"/>
                <w:szCs w:val="22"/>
              </w:rPr>
              <w:t>Druh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Zatienenie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Kvalita opadu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B8B" w:rsidRPr="00381B8B" w:rsidRDefault="00381B8B" w:rsidP="00381B8B">
            <w:pPr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Druh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Zatienenie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Kvalita opadu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Abies alba *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Prunus avium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Acer campestre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Prunus padus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Acer platanoides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Prunus spinosa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Acer pseudoplatanus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Quercus cerris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Alnus glutinosa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Quercus petraea agg.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1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Alnus incana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Quercus pubescens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Betula pendula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Quercus robur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1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Carpinus betulus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Quercus rubra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1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Cornus sanguinea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Robinia pseudoacacia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Cornus mas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Salix alba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Corylus avellana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Salix caprea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Crataegus laevigata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Salix fragilis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Crataegus monogyna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Sambucus nigra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Fagus sylvatica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Sambucus racemosa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lastRenderedPageBreak/>
              <w:t>Frangula alnus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Sorbus aria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Fraxinus excelsior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Sorbus aucuparia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Fraxinus ornus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Sorbus torminalis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Juglans regia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Tilia cordata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Picea abies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Tilia platyphyllos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Pinus cembra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Ulmus glabra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Pinus mugo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Ulmus laevis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Pinus nigra 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Ulmus minor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Pinus sylvestris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Populus alba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Populus canescens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Populus nigra *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</w:tr>
      <w:tr w:rsidR="00381B8B" w:rsidRPr="00381B8B" w:rsidTr="006C5F32">
        <w:trPr>
          <w:trHeight w:val="28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  <w:r w:rsidRPr="00381B8B">
              <w:rPr>
                <w:i/>
                <w:color w:val="000000"/>
                <w:sz w:val="22"/>
                <w:szCs w:val="22"/>
              </w:rPr>
              <w:t>Populus tremula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  <w:r w:rsidRPr="00381B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8B" w:rsidRPr="00381B8B" w:rsidRDefault="00381B8B" w:rsidP="00381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1B8B" w:rsidRPr="00381B8B" w:rsidRDefault="00381B8B" w:rsidP="00381B8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B8B" w:rsidRPr="00381B8B" w:rsidRDefault="00381B8B" w:rsidP="00381B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1B8B" w:rsidRPr="00381B8B" w:rsidRDefault="00381B8B" w:rsidP="00381B8B"/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/>
    <w:p w:rsidR="00381B8B" w:rsidRPr="00381B8B" w:rsidRDefault="00381B8B" w:rsidP="00381B8B">
      <w:pPr>
        <w:tabs>
          <w:tab w:val="left" w:pos="1"/>
          <w:tab w:val="left" w:pos="398"/>
          <w:tab w:val="left" w:pos="796"/>
          <w:tab w:val="left" w:pos="1195"/>
          <w:tab w:val="left" w:pos="1593"/>
          <w:tab w:val="left" w:pos="1992"/>
          <w:tab w:val="left" w:pos="2390"/>
          <w:tab w:val="left" w:pos="2788"/>
          <w:tab w:val="left" w:pos="3187"/>
          <w:tab w:val="left" w:pos="3585"/>
          <w:tab w:val="left" w:pos="3984"/>
          <w:tab w:val="left" w:pos="4382"/>
          <w:tab w:val="left" w:pos="4780"/>
          <w:tab w:val="left" w:pos="5179"/>
          <w:tab w:val="left" w:pos="5577"/>
          <w:tab w:val="left" w:pos="5976"/>
          <w:tab w:val="left" w:pos="6374"/>
          <w:tab w:val="left" w:pos="6772"/>
          <w:tab w:val="left" w:pos="7171"/>
          <w:tab w:val="left" w:pos="7569"/>
          <w:tab w:val="left" w:pos="7968"/>
          <w:tab w:val="left" w:pos="8366"/>
          <w:tab w:val="left" w:pos="8764"/>
          <w:tab w:val="left" w:pos="9163"/>
          <w:tab w:val="left" w:pos="9637"/>
          <w:tab w:val="left" w:pos="-1440"/>
        </w:tabs>
        <w:jc w:val="both"/>
        <w:rPr>
          <w:sz w:val="24"/>
          <w:szCs w:val="24"/>
        </w:rPr>
      </w:pPr>
    </w:p>
    <w:p w:rsidR="00381B8B" w:rsidRPr="00381B8B" w:rsidRDefault="00381B8B" w:rsidP="00381B8B">
      <w:pPr>
        <w:tabs>
          <w:tab w:val="left" w:pos="1"/>
          <w:tab w:val="left" w:pos="398"/>
          <w:tab w:val="left" w:pos="796"/>
          <w:tab w:val="left" w:pos="1195"/>
          <w:tab w:val="left" w:pos="1593"/>
          <w:tab w:val="left" w:pos="1992"/>
          <w:tab w:val="left" w:pos="2390"/>
          <w:tab w:val="left" w:pos="2788"/>
          <w:tab w:val="left" w:pos="3187"/>
          <w:tab w:val="left" w:pos="3585"/>
          <w:tab w:val="left" w:pos="3984"/>
          <w:tab w:val="left" w:pos="4382"/>
          <w:tab w:val="left" w:pos="4780"/>
          <w:tab w:val="left" w:pos="5179"/>
          <w:tab w:val="left" w:pos="5577"/>
          <w:tab w:val="left" w:pos="5976"/>
          <w:tab w:val="left" w:pos="6374"/>
          <w:tab w:val="left" w:pos="6772"/>
          <w:tab w:val="left" w:pos="7171"/>
          <w:tab w:val="left" w:pos="7569"/>
          <w:tab w:val="left" w:pos="7968"/>
          <w:tab w:val="left" w:pos="8366"/>
          <w:tab w:val="left" w:pos="8764"/>
          <w:tab w:val="left" w:pos="9163"/>
          <w:tab w:val="left" w:pos="9637"/>
          <w:tab w:val="left" w:pos="-1440"/>
        </w:tabs>
        <w:jc w:val="both"/>
        <w:rPr>
          <w:sz w:val="24"/>
          <w:szCs w:val="24"/>
        </w:rPr>
      </w:pPr>
    </w:p>
    <w:p w:rsidR="00381B8B" w:rsidRPr="00381B8B" w:rsidRDefault="00381B8B" w:rsidP="00381B8B">
      <w:pPr>
        <w:tabs>
          <w:tab w:val="left" w:pos="1"/>
          <w:tab w:val="left" w:pos="398"/>
          <w:tab w:val="left" w:pos="796"/>
          <w:tab w:val="left" w:pos="1195"/>
          <w:tab w:val="left" w:pos="1593"/>
          <w:tab w:val="left" w:pos="1992"/>
          <w:tab w:val="left" w:pos="2390"/>
          <w:tab w:val="left" w:pos="2788"/>
          <w:tab w:val="left" w:pos="3187"/>
          <w:tab w:val="left" w:pos="3585"/>
          <w:tab w:val="left" w:pos="3984"/>
          <w:tab w:val="left" w:pos="4382"/>
          <w:tab w:val="left" w:pos="4780"/>
          <w:tab w:val="left" w:pos="5179"/>
          <w:tab w:val="left" w:pos="5577"/>
          <w:tab w:val="left" w:pos="5976"/>
          <w:tab w:val="left" w:pos="6374"/>
          <w:tab w:val="left" w:pos="6772"/>
          <w:tab w:val="left" w:pos="7171"/>
          <w:tab w:val="left" w:pos="7569"/>
          <w:tab w:val="left" w:pos="7968"/>
          <w:tab w:val="left" w:pos="8366"/>
          <w:tab w:val="left" w:pos="8764"/>
          <w:tab w:val="left" w:pos="9163"/>
          <w:tab w:val="left" w:pos="9637"/>
          <w:tab w:val="left" w:pos="-1440"/>
        </w:tabs>
        <w:jc w:val="both"/>
        <w:rPr>
          <w:sz w:val="24"/>
          <w:szCs w:val="24"/>
        </w:rPr>
      </w:pPr>
    </w:p>
    <w:p w:rsidR="00381B8B" w:rsidRPr="00381B8B" w:rsidRDefault="00381B8B" w:rsidP="00381B8B">
      <w:pPr>
        <w:tabs>
          <w:tab w:val="left" w:pos="1"/>
          <w:tab w:val="left" w:pos="398"/>
          <w:tab w:val="left" w:pos="796"/>
          <w:tab w:val="left" w:pos="1195"/>
          <w:tab w:val="left" w:pos="1593"/>
          <w:tab w:val="left" w:pos="1992"/>
          <w:tab w:val="left" w:pos="2390"/>
          <w:tab w:val="left" w:pos="2788"/>
          <w:tab w:val="left" w:pos="3187"/>
          <w:tab w:val="left" w:pos="3585"/>
          <w:tab w:val="left" w:pos="3984"/>
          <w:tab w:val="left" w:pos="4382"/>
          <w:tab w:val="left" w:pos="4780"/>
          <w:tab w:val="left" w:pos="5179"/>
          <w:tab w:val="left" w:pos="5577"/>
          <w:tab w:val="left" w:pos="5976"/>
          <w:tab w:val="left" w:pos="6374"/>
          <w:tab w:val="left" w:pos="6772"/>
          <w:tab w:val="left" w:pos="7171"/>
          <w:tab w:val="left" w:pos="7569"/>
          <w:tab w:val="left" w:pos="7968"/>
          <w:tab w:val="left" w:pos="8366"/>
          <w:tab w:val="left" w:pos="8764"/>
          <w:tab w:val="left" w:pos="9163"/>
          <w:tab w:val="left" w:pos="9637"/>
          <w:tab w:val="left" w:pos="-1440"/>
        </w:tabs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jc w:val="both"/>
        <w:rPr>
          <w:sz w:val="24"/>
          <w:szCs w:val="24"/>
        </w:rPr>
      </w:pPr>
    </w:p>
    <w:p w:rsidR="00381B8B" w:rsidRPr="00381B8B" w:rsidRDefault="00381B8B" w:rsidP="00381B8B">
      <w:pPr>
        <w:rPr>
          <w:b/>
          <w:sz w:val="24"/>
          <w:szCs w:val="24"/>
        </w:rPr>
      </w:pPr>
      <w:r w:rsidRPr="00381B8B">
        <w:rPr>
          <w:b/>
          <w:sz w:val="24"/>
          <w:szCs w:val="24"/>
        </w:rPr>
        <w:lastRenderedPageBreak/>
        <w:t>Semestrálna práca – ekologická stabilita lesného porastu</w:t>
      </w:r>
    </w:p>
    <w:p w:rsidR="00381B8B" w:rsidRPr="00381B8B" w:rsidRDefault="00381B8B" w:rsidP="00381B8B">
      <w:pPr>
        <w:rPr>
          <w:b/>
          <w:sz w:val="24"/>
          <w:szCs w:val="24"/>
        </w:rPr>
      </w:pPr>
    </w:p>
    <w:p w:rsidR="00381B8B" w:rsidRPr="00381B8B" w:rsidRDefault="00381B8B" w:rsidP="00381B8B">
      <w:pPr>
        <w:ind w:firstLine="360"/>
        <w:rPr>
          <w:sz w:val="24"/>
          <w:szCs w:val="24"/>
        </w:rPr>
      </w:pPr>
      <w:r w:rsidRPr="00381B8B">
        <w:rPr>
          <w:sz w:val="24"/>
          <w:szCs w:val="24"/>
        </w:rPr>
        <w:t>Ekologická stabilita vyjadruje schopnosť ekosystému kompenzovať vonkajšie alebo vnútorné vplyvy bez výrazného narušenia jeho integrity. Termín stabilita je čiastočne sporný, pretože absolútna stabilita, statickosť, v prírode neexistuje. Ekosystémy sú stále vystavený nejakým vplyvom, ktoré však svojimi autoregulačnými mechanizmami eliminujú a z dlhodobého hľadiska sa nachádzajú v stave akejsi dynamickej rovnováhy.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ind w:firstLine="360"/>
        <w:rPr>
          <w:sz w:val="24"/>
          <w:szCs w:val="24"/>
        </w:rPr>
      </w:pPr>
      <w:r w:rsidRPr="00381B8B">
        <w:rPr>
          <w:sz w:val="24"/>
          <w:szCs w:val="24"/>
        </w:rPr>
        <w:t>Koncept ekologickej stability sa využíva nielen pri hodnotení stability lesných porastov, ale aj v širších krajinno-ekologických súvislostiach, aplikovaný predovšetkým ako tzv. územný systém ekologickej stability (ÚSES).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ind w:firstLine="360"/>
        <w:rPr>
          <w:sz w:val="24"/>
          <w:szCs w:val="24"/>
        </w:rPr>
      </w:pPr>
      <w:r w:rsidRPr="00381B8B">
        <w:rPr>
          <w:sz w:val="24"/>
          <w:szCs w:val="24"/>
        </w:rPr>
        <w:t>Témou semestrálnej práce je vyhodnotiť ekologickú stabilitu lesného ekosystému na príklade vybraného lesného porastu (JPRL – jednotky priestorového rozdelenia lesa). Ako základné piliere ekologickej stability sa využívajú rôzne ukazovatele vyjadrujúce štruktúru lesa, zdravotný stav a autoregulačné mechanizmy. V rámci tejto práce sa budú hodnotiť nasledovné veličiny: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81B8B">
        <w:rPr>
          <w:rFonts w:ascii="Times New Roman" w:hAnsi="Times New Roman"/>
          <w:sz w:val="24"/>
          <w:szCs w:val="24"/>
        </w:rPr>
        <w:t>Stanovištná vhodnosť drevinového zloženia</w:t>
      </w:r>
    </w:p>
    <w:p w:rsidR="00381B8B" w:rsidRPr="00381B8B" w:rsidRDefault="00381B8B" w:rsidP="00381B8B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81B8B">
        <w:rPr>
          <w:rFonts w:ascii="Times New Roman" w:hAnsi="Times New Roman"/>
          <w:sz w:val="24"/>
          <w:szCs w:val="24"/>
        </w:rPr>
        <w:t>Štruktúra lesa</w:t>
      </w:r>
    </w:p>
    <w:p w:rsidR="00381B8B" w:rsidRPr="00381B8B" w:rsidRDefault="00381B8B" w:rsidP="00381B8B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81B8B">
        <w:rPr>
          <w:rFonts w:ascii="Times New Roman" w:hAnsi="Times New Roman"/>
          <w:sz w:val="24"/>
          <w:szCs w:val="24"/>
        </w:rPr>
        <w:t>Abiotické škodlivé činitele</w:t>
      </w:r>
    </w:p>
    <w:p w:rsidR="00381B8B" w:rsidRPr="00381B8B" w:rsidRDefault="00381B8B" w:rsidP="00381B8B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81B8B">
        <w:rPr>
          <w:rFonts w:ascii="Times New Roman" w:hAnsi="Times New Roman"/>
          <w:sz w:val="24"/>
          <w:szCs w:val="24"/>
        </w:rPr>
        <w:t>Biotické škodlivé činitele</w:t>
      </w:r>
    </w:p>
    <w:p w:rsidR="00381B8B" w:rsidRPr="00381B8B" w:rsidRDefault="00381B8B" w:rsidP="00381B8B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81B8B">
        <w:rPr>
          <w:rFonts w:ascii="Times New Roman" w:hAnsi="Times New Roman"/>
          <w:sz w:val="24"/>
          <w:szCs w:val="24"/>
        </w:rPr>
        <w:t>Antropogénne škodlivé činitele</w:t>
      </w:r>
    </w:p>
    <w:p w:rsidR="00381B8B" w:rsidRPr="00381B8B" w:rsidRDefault="00381B8B" w:rsidP="00381B8B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81B8B">
        <w:rPr>
          <w:rFonts w:ascii="Times New Roman" w:hAnsi="Times New Roman"/>
          <w:sz w:val="24"/>
          <w:szCs w:val="24"/>
        </w:rPr>
        <w:t>Autoregulačná schopnosť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ind w:firstLine="708"/>
        <w:rPr>
          <w:sz w:val="24"/>
          <w:szCs w:val="24"/>
        </w:rPr>
      </w:pPr>
      <w:r w:rsidRPr="00381B8B">
        <w:rPr>
          <w:sz w:val="24"/>
          <w:szCs w:val="24"/>
        </w:rPr>
        <w:t xml:space="preserve">Lesný porast (JPRL), ktorý bude objektom hodnotenia, je možné vybrať v ľubovoľnom území. Na základe terénneho pozorovania, odhadov, meraní a následných výpočtov, sa vyhodnotí stav uvedených veličín. Príklad grafickej syntézy dosiahnutých výsledkov uvádza Obrázok </w:t>
      </w:r>
      <w:r w:rsidRPr="00381B8B">
        <w:rPr>
          <w:sz w:val="24"/>
          <w:szCs w:val="24"/>
        </w:rPr>
        <w:t>2</w:t>
      </w:r>
      <w:r w:rsidRPr="00381B8B">
        <w:rPr>
          <w:sz w:val="24"/>
          <w:szCs w:val="24"/>
        </w:rPr>
        <w:t xml:space="preserve">. Výsledky musia byť slovne intepretované a podporené argumentáciou. Zadanie je možné vypracovať aj vo dvojici. To znamená, že dvaja študenti vypracujú semestrálnu prácu spolu, avšak na základe údajov, ktoré každý z nich získa v inom území. Porovnanie údajov, resp. konfrontácia výsledkov z dvoch odlišných území, poskytne predpoklad pre jednoduchšiu interpretáciu a lepšie pochopenie konceptu ekologickej stability. </w:t>
      </w:r>
    </w:p>
    <w:p w:rsidR="00381B8B" w:rsidRPr="00381B8B" w:rsidRDefault="00381B8B" w:rsidP="00381B8B">
      <w:pPr>
        <w:rPr>
          <w:b/>
          <w:sz w:val="24"/>
          <w:szCs w:val="24"/>
        </w:rPr>
      </w:pPr>
    </w:p>
    <w:p w:rsidR="00381B8B" w:rsidRPr="00381B8B" w:rsidRDefault="00381B8B" w:rsidP="00381B8B">
      <w:pPr>
        <w:rPr>
          <w:b/>
          <w:sz w:val="24"/>
          <w:szCs w:val="24"/>
        </w:rPr>
      </w:pPr>
      <w:r w:rsidRPr="00381B8B">
        <w:rPr>
          <w:b/>
          <w:sz w:val="24"/>
          <w:szCs w:val="24"/>
        </w:rPr>
        <w:t>Detailnejší opis hodnotených veličín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  <w:u w:val="single"/>
        </w:rPr>
      </w:pPr>
      <w:r w:rsidRPr="00381B8B">
        <w:rPr>
          <w:sz w:val="24"/>
          <w:szCs w:val="24"/>
          <w:u w:val="single"/>
        </w:rPr>
        <w:t>Stanovištná vhodnosť drevinového zloženia</w:t>
      </w:r>
    </w:p>
    <w:p w:rsidR="00381B8B" w:rsidRPr="00381B8B" w:rsidRDefault="00381B8B" w:rsidP="00381B8B">
      <w:pPr>
        <w:rPr>
          <w:sz w:val="24"/>
          <w:szCs w:val="24"/>
          <w:u w:val="single"/>
        </w:rPr>
      </w:pPr>
    </w:p>
    <w:p w:rsidR="00381B8B" w:rsidRPr="00381B8B" w:rsidRDefault="00381B8B" w:rsidP="00381B8B">
      <w:pPr>
        <w:ind w:firstLine="360"/>
        <w:rPr>
          <w:sz w:val="24"/>
          <w:szCs w:val="24"/>
        </w:rPr>
      </w:pPr>
      <w:r w:rsidRPr="00381B8B">
        <w:rPr>
          <w:sz w:val="24"/>
          <w:szCs w:val="24"/>
        </w:rPr>
        <w:t xml:space="preserve">Hodnotenie bude realizované na základe práce </w:t>
      </w:r>
      <w:r w:rsidRPr="00381B8B">
        <w:rPr>
          <w:smallCaps/>
          <w:sz w:val="24"/>
          <w:szCs w:val="24"/>
        </w:rPr>
        <w:t>Vladovič</w:t>
      </w:r>
      <w:r w:rsidRPr="00381B8B">
        <w:rPr>
          <w:sz w:val="24"/>
          <w:szCs w:val="24"/>
        </w:rPr>
        <w:t xml:space="preserve"> (2003), ktorá uvádza spôsob stanovenia percenta aproximácie (priblíženia) súčasného ku pôvodnému (prirodzenému) drevinovému zastúpeniu drevín. Pôvodné drevinové zloženie uvádza Príloha 1 a následnú stupnicu hodnotenia hodnôt aproximácie Tabuľka </w:t>
      </w:r>
      <w:r w:rsidRPr="00381B8B">
        <w:rPr>
          <w:sz w:val="24"/>
          <w:szCs w:val="24"/>
        </w:rPr>
        <w:t>2</w:t>
      </w:r>
      <w:r w:rsidRPr="00381B8B">
        <w:rPr>
          <w:sz w:val="24"/>
          <w:szCs w:val="24"/>
        </w:rPr>
        <w:t>. Spôsob výpočtu aproximácie je nasledovný: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pStyle w:val="Odsekzoznamu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81B8B">
        <w:rPr>
          <w:rFonts w:ascii="Times New Roman" w:hAnsi="Times New Roman"/>
          <w:sz w:val="24"/>
          <w:szCs w:val="24"/>
        </w:rPr>
        <w:t>Výpočet sumy odchýlok (SO) súčasného zastúpenia každej dreviny od pôvodného zastúpenia na úrovni skupín lesných typov:</w:t>
      </w:r>
    </w:p>
    <w:p w:rsidR="00381B8B" w:rsidRPr="00381B8B" w:rsidRDefault="00381B8B" w:rsidP="00381B8B">
      <w:pPr>
        <w:pStyle w:val="Odsekzoznamu"/>
        <w:spacing w:after="0"/>
        <w:ind w:left="426"/>
        <w:rPr>
          <w:rFonts w:ascii="Times New Roman" w:hAnsi="Times New Roman"/>
          <w:sz w:val="16"/>
          <w:szCs w:val="16"/>
        </w:rPr>
      </w:pPr>
    </w:p>
    <w:p w:rsidR="00381B8B" w:rsidRPr="00381B8B" w:rsidRDefault="00381B8B" w:rsidP="00381B8B">
      <w:pPr>
        <w:ind w:left="426"/>
        <w:rPr>
          <w:sz w:val="24"/>
          <w:szCs w:val="24"/>
        </w:rPr>
      </w:pPr>
      <w:r w:rsidRPr="00381B8B">
        <w:rPr>
          <w:sz w:val="24"/>
          <w:szCs w:val="24"/>
        </w:rPr>
        <w:t>SO (suma odchýlok) = smrek │súčasné zastúpenie – pôvodné zastúpenie│ + buk │súčasné zastúpenie – pôvodné zastúpenie│ + jedľa │súčasné zastúpenie – pôvodné zastúpenie│</w:t>
      </w:r>
    </w:p>
    <w:p w:rsidR="00381B8B" w:rsidRPr="00381B8B" w:rsidRDefault="00381B8B" w:rsidP="00381B8B">
      <w:pPr>
        <w:ind w:left="426"/>
        <w:rPr>
          <w:sz w:val="24"/>
          <w:szCs w:val="24"/>
        </w:rPr>
      </w:pPr>
      <w:r w:rsidRPr="00381B8B">
        <w:rPr>
          <w:sz w:val="24"/>
          <w:szCs w:val="24"/>
        </w:rPr>
        <w:lastRenderedPageBreak/>
        <w:t>SO =  smrek │80 – 5│ + buk │10 – 75│ + jedľa │10 – 20│</w:t>
      </w:r>
    </w:p>
    <w:p w:rsidR="00381B8B" w:rsidRPr="00381B8B" w:rsidRDefault="00381B8B" w:rsidP="00381B8B">
      <w:pPr>
        <w:ind w:left="426"/>
        <w:rPr>
          <w:sz w:val="24"/>
          <w:szCs w:val="24"/>
        </w:rPr>
      </w:pPr>
      <w:r w:rsidRPr="00381B8B">
        <w:rPr>
          <w:sz w:val="24"/>
          <w:szCs w:val="24"/>
        </w:rPr>
        <w:t>SO = 75 + 65 + 10 = 150</w:t>
      </w:r>
    </w:p>
    <w:p w:rsidR="00381B8B" w:rsidRPr="00381B8B" w:rsidRDefault="00381B8B" w:rsidP="00381B8B">
      <w:pPr>
        <w:ind w:left="426"/>
        <w:rPr>
          <w:sz w:val="24"/>
          <w:szCs w:val="24"/>
        </w:rPr>
      </w:pPr>
    </w:p>
    <w:p w:rsidR="00381B8B" w:rsidRPr="00381B8B" w:rsidRDefault="00381B8B" w:rsidP="00381B8B">
      <w:pPr>
        <w:pStyle w:val="Odsekzoznamu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81B8B">
        <w:rPr>
          <w:rFonts w:ascii="Times New Roman" w:hAnsi="Times New Roman"/>
          <w:sz w:val="24"/>
          <w:szCs w:val="24"/>
        </w:rPr>
        <w:t>Stanovenie percenta aproximácie súčasného a pôvodného zastúpenia drevín:</w:t>
      </w:r>
    </w:p>
    <w:p w:rsidR="00381B8B" w:rsidRPr="00381B8B" w:rsidRDefault="00381B8B" w:rsidP="00381B8B">
      <w:pPr>
        <w:pStyle w:val="Odsekzoznamu"/>
        <w:spacing w:after="0"/>
        <w:ind w:left="426"/>
        <w:rPr>
          <w:rFonts w:ascii="Times New Roman" w:hAnsi="Times New Roman"/>
          <w:sz w:val="16"/>
          <w:szCs w:val="16"/>
        </w:rPr>
      </w:pPr>
    </w:p>
    <w:p w:rsidR="00381B8B" w:rsidRPr="00381B8B" w:rsidRDefault="00381B8B" w:rsidP="00381B8B">
      <w:pPr>
        <w:ind w:left="426"/>
        <w:rPr>
          <w:sz w:val="24"/>
          <w:szCs w:val="24"/>
        </w:rPr>
      </w:pPr>
      <w:r w:rsidRPr="00381B8B">
        <w:rPr>
          <w:sz w:val="24"/>
          <w:szCs w:val="24"/>
        </w:rPr>
        <w:t>a (aproximácia) = 100 (1 – SO/200) = 100 (1 – 150/200) = 100 (1 – 0,75) = 25 %</w:t>
      </w:r>
    </w:p>
    <w:p w:rsidR="00381B8B" w:rsidRPr="00381B8B" w:rsidRDefault="00381B8B" w:rsidP="00381B8B">
      <w:pPr>
        <w:ind w:left="426"/>
        <w:rPr>
          <w:sz w:val="24"/>
          <w:szCs w:val="24"/>
        </w:rPr>
      </w:pPr>
    </w:p>
    <w:p w:rsidR="00381B8B" w:rsidRPr="00381B8B" w:rsidRDefault="00381B8B" w:rsidP="00381B8B">
      <w:pPr>
        <w:pStyle w:val="Odsekzoznamu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81B8B">
        <w:rPr>
          <w:rFonts w:ascii="Times New Roman" w:hAnsi="Times New Roman"/>
          <w:sz w:val="24"/>
          <w:szCs w:val="24"/>
        </w:rPr>
        <w:t xml:space="preserve">Zaradenie do stupnice hodnotenia aproximácie podľa Tabuľky </w:t>
      </w:r>
      <w:r w:rsidRPr="00381B8B">
        <w:rPr>
          <w:rFonts w:ascii="Times New Roman" w:hAnsi="Times New Roman"/>
          <w:sz w:val="24"/>
          <w:szCs w:val="24"/>
        </w:rPr>
        <w:t>2</w:t>
      </w:r>
      <w:r w:rsidRPr="00381B8B">
        <w:rPr>
          <w:rFonts w:ascii="Times New Roman" w:hAnsi="Times New Roman"/>
          <w:sz w:val="24"/>
          <w:szCs w:val="24"/>
        </w:rPr>
        <w:t xml:space="preserve"> a následná interpretácia vhodnosti drevinového zloženia.</w:t>
      </w:r>
    </w:p>
    <w:p w:rsidR="00381B8B" w:rsidRPr="00381B8B" w:rsidRDefault="00381B8B" w:rsidP="00381B8B">
      <w:pPr>
        <w:pStyle w:val="Odsekzoznamu"/>
        <w:spacing w:after="0"/>
        <w:ind w:left="708"/>
        <w:rPr>
          <w:rFonts w:ascii="Times New Roman" w:hAnsi="Times New Roman"/>
          <w:sz w:val="16"/>
          <w:szCs w:val="16"/>
        </w:rPr>
      </w:pPr>
    </w:p>
    <w:p w:rsidR="00381B8B" w:rsidRPr="00381B8B" w:rsidRDefault="00381B8B" w:rsidP="00381B8B">
      <w:pPr>
        <w:rPr>
          <w:sz w:val="24"/>
          <w:szCs w:val="24"/>
        </w:rPr>
      </w:pPr>
      <w:r w:rsidRPr="00381B8B">
        <w:rPr>
          <w:sz w:val="24"/>
          <w:szCs w:val="24"/>
        </w:rPr>
        <w:t xml:space="preserve">Tabuľka </w:t>
      </w:r>
      <w:r w:rsidRPr="00381B8B">
        <w:rPr>
          <w:sz w:val="24"/>
          <w:szCs w:val="24"/>
        </w:rPr>
        <w:t>2</w:t>
      </w:r>
      <w:r w:rsidRPr="00381B8B">
        <w:rPr>
          <w:sz w:val="24"/>
          <w:szCs w:val="24"/>
        </w:rPr>
        <w:t>: Stupnica hodnotenia aproximácie drevinového zloženia (prevzaté z práce Vladovič 2003).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5245"/>
      </w:tblGrid>
      <w:tr w:rsidR="00381B8B" w:rsidRPr="00381B8B" w:rsidTr="006C5F32">
        <w:tc>
          <w:tcPr>
            <w:tcW w:w="988" w:type="dxa"/>
            <w:shd w:val="clear" w:color="auto" w:fill="D9D9D9"/>
          </w:tcPr>
          <w:p w:rsidR="00381B8B" w:rsidRPr="00381B8B" w:rsidRDefault="00381B8B" w:rsidP="00381B8B">
            <w:pPr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Stupeň</w:t>
            </w:r>
          </w:p>
        </w:tc>
        <w:tc>
          <w:tcPr>
            <w:tcW w:w="2409" w:type="dxa"/>
            <w:shd w:val="clear" w:color="auto" w:fill="D9D9D9"/>
          </w:tcPr>
          <w:p w:rsidR="00381B8B" w:rsidRPr="00381B8B" w:rsidRDefault="00381B8B" w:rsidP="00381B8B">
            <w:pPr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Percento aproximácie</w:t>
            </w:r>
          </w:p>
        </w:tc>
        <w:tc>
          <w:tcPr>
            <w:tcW w:w="5245" w:type="dxa"/>
            <w:shd w:val="clear" w:color="auto" w:fill="D9D9D9"/>
          </w:tcPr>
          <w:p w:rsidR="00381B8B" w:rsidRPr="00381B8B" w:rsidRDefault="00381B8B" w:rsidP="00381B8B">
            <w:pPr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Charakteristika vhodnosti drevinového zloženia</w:t>
            </w:r>
          </w:p>
        </w:tc>
      </w:tr>
      <w:tr w:rsidR="00381B8B" w:rsidRPr="00381B8B" w:rsidTr="006C5F32">
        <w:tc>
          <w:tcPr>
            <w:tcW w:w="988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81 – 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Vhodné</w:t>
            </w:r>
          </w:p>
        </w:tc>
      </w:tr>
      <w:tr w:rsidR="00381B8B" w:rsidRPr="00381B8B" w:rsidTr="006C5F32">
        <w:tc>
          <w:tcPr>
            <w:tcW w:w="988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61 – 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Prevažne vhodné</w:t>
            </w:r>
          </w:p>
        </w:tc>
      </w:tr>
      <w:tr w:rsidR="00381B8B" w:rsidRPr="00381B8B" w:rsidTr="006C5F32">
        <w:tc>
          <w:tcPr>
            <w:tcW w:w="988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41 – 60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Stredne vhodné</w:t>
            </w:r>
          </w:p>
        </w:tc>
      </w:tr>
      <w:tr w:rsidR="00381B8B" w:rsidRPr="00381B8B" w:rsidTr="006C5F32">
        <w:tc>
          <w:tcPr>
            <w:tcW w:w="988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21 – 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Prevažne nevhodné</w:t>
            </w:r>
          </w:p>
        </w:tc>
      </w:tr>
      <w:tr w:rsidR="00381B8B" w:rsidRPr="00381B8B" w:rsidTr="006C5F32">
        <w:tc>
          <w:tcPr>
            <w:tcW w:w="988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0 – 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1B8B" w:rsidRPr="00381B8B" w:rsidRDefault="00381B8B" w:rsidP="00381B8B">
            <w:pPr>
              <w:jc w:val="center"/>
              <w:rPr>
                <w:sz w:val="24"/>
                <w:szCs w:val="24"/>
              </w:rPr>
            </w:pPr>
            <w:r w:rsidRPr="00381B8B">
              <w:rPr>
                <w:sz w:val="24"/>
                <w:szCs w:val="24"/>
              </w:rPr>
              <w:t>Celkom nevhodné</w:t>
            </w:r>
          </w:p>
        </w:tc>
      </w:tr>
    </w:tbl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ind w:firstLine="708"/>
        <w:rPr>
          <w:sz w:val="24"/>
          <w:szCs w:val="24"/>
        </w:rPr>
      </w:pPr>
    </w:p>
    <w:p w:rsidR="00381B8B" w:rsidRPr="00381B8B" w:rsidRDefault="00381B8B" w:rsidP="00381B8B">
      <w:pPr>
        <w:ind w:firstLine="708"/>
        <w:rPr>
          <w:sz w:val="24"/>
          <w:szCs w:val="24"/>
        </w:rPr>
      </w:pPr>
      <w:r w:rsidRPr="00381B8B">
        <w:rPr>
          <w:sz w:val="24"/>
          <w:szCs w:val="24"/>
        </w:rPr>
        <w:t>V uvedenom príklade ide o 4. stupeň, prevažne nevhodné drevinové zloženie. V grafickom znázornení uvádzaného príkladu (</w:t>
      </w:r>
      <w:r w:rsidRPr="00381B8B">
        <w:rPr>
          <w:sz w:val="24"/>
          <w:szCs w:val="24"/>
        </w:rPr>
        <w:t>Obrázok 2</w:t>
      </w:r>
      <w:r w:rsidRPr="00381B8B">
        <w:rPr>
          <w:sz w:val="24"/>
          <w:szCs w:val="24"/>
        </w:rPr>
        <w:t>) je použitá hodnota aproximácie.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  <w:u w:val="single"/>
        </w:rPr>
      </w:pPr>
      <w:r w:rsidRPr="00381B8B">
        <w:rPr>
          <w:sz w:val="24"/>
          <w:szCs w:val="24"/>
          <w:u w:val="single"/>
        </w:rPr>
        <w:t>Štruktúra porastu</w:t>
      </w:r>
    </w:p>
    <w:p w:rsidR="00381B8B" w:rsidRPr="00381B8B" w:rsidRDefault="00381B8B" w:rsidP="00381B8B">
      <w:pPr>
        <w:rPr>
          <w:sz w:val="24"/>
          <w:szCs w:val="24"/>
          <w:u w:val="single"/>
        </w:rPr>
      </w:pPr>
    </w:p>
    <w:p w:rsidR="00381B8B" w:rsidRPr="00381B8B" w:rsidRDefault="00381B8B" w:rsidP="00381B8B">
      <w:pPr>
        <w:ind w:firstLine="708"/>
        <w:rPr>
          <w:sz w:val="24"/>
          <w:szCs w:val="24"/>
        </w:rPr>
      </w:pPr>
      <w:r w:rsidRPr="00381B8B">
        <w:rPr>
          <w:sz w:val="24"/>
          <w:szCs w:val="24"/>
        </w:rPr>
        <w:t xml:space="preserve">Pre stabilitu lesného ekosystému je vo všeobecnosti dôležitá rôznorodá priestorová, veková, hrúbková a výšková štruktúra, ale jej význam sa líši pre rôzne typy lesa (v hrubej miere podľa drevinového zloženia: dubiny, bučiny, smrečiny a podobne). Pri hodnotení percentuálnou škálou znamenajú vyššie hodnoty dobrý, priaznivý stav, teda štruktúru, ktorá prispieva ku vysokej stabilite lesného ekosystému. Rôznorodosť porastovej štruktúry sa v tomto zadaní hodnotí subjektívne. </w:t>
      </w:r>
    </w:p>
    <w:p w:rsidR="00381B8B" w:rsidRPr="00381B8B" w:rsidRDefault="00381B8B" w:rsidP="00381B8B">
      <w:pPr>
        <w:ind w:firstLine="708"/>
        <w:rPr>
          <w:sz w:val="24"/>
          <w:szCs w:val="24"/>
        </w:rPr>
      </w:pPr>
      <w:r w:rsidRPr="00381B8B">
        <w:rPr>
          <w:sz w:val="24"/>
          <w:szCs w:val="24"/>
        </w:rPr>
        <w:t xml:space="preserve">V prípade smrekových lesov je možné pri hodnotení využiť aj koncept </w:t>
      </w:r>
      <w:r w:rsidRPr="00381B8B">
        <w:rPr>
          <w:i/>
          <w:sz w:val="24"/>
          <w:szCs w:val="24"/>
        </w:rPr>
        <w:t>Density Managment Diagrams</w:t>
      </w:r>
      <w:r w:rsidRPr="00381B8B">
        <w:rPr>
          <w:sz w:val="24"/>
          <w:szCs w:val="24"/>
        </w:rPr>
        <w:t xml:space="preserve"> (Vacchiano a kol. 2013), ktorý na základe priemernej hrúbky a hustoty stromov vyjadrí stabilitu porastu. Postup je nasledovný. Na mieste, ktoré reprezentuje celkový charakter hodnoteného porastu, sa na ploche 20x20 m zmeria hrúbka (prípadne obvod s následným prepočtom na hrúbku) všetkých stromov, ktoré sú v prsnej výške (1,3 m) hrubšie ako 7 cm (d</w:t>
      </w:r>
      <w:r w:rsidRPr="00381B8B">
        <w:rPr>
          <w:sz w:val="24"/>
          <w:szCs w:val="24"/>
          <w:vertAlign w:val="subscript"/>
        </w:rPr>
        <w:t xml:space="preserve">1,3 </w:t>
      </w:r>
      <w:r w:rsidRPr="00381B8B">
        <w:rPr>
          <w:sz w:val="24"/>
          <w:szCs w:val="24"/>
          <w:lang w:val="en-US"/>
        </w:rPr>
        <w:t>&gt; 7 cm</w:t>
      </w:r>
      <w:r w:rsidRPr="00381B8B">
        <w:rPr>
          <w:sz w:val="24"/>
          <w:szCs w:val="24"/>
        </w:rPr>
        <w:t xml:space="preserve">). Stabilita porastu je klasifikovaná v troch kategóriách: nízke riziko, stredné riziko, vysoké riziko (Obrázok </w:t>
      </w:r>
      <w:r w:rsidRPr="00381B8B">
        <w:rPr>
          <w:sz w:val="24"/>
          <w:szCs w:val="24"/>
        </w:rPr>
        <w:t>1</w:t>
      </w:r>
      <w:r w:rsidRPr="00381B8B">
        <w:rPr>
          <w:sz w:val="24"/>
          <w:szCs w:val="24"/>
        </w:rPr>
        <w:t>). Výsledná kategória sa stanoví na základe priemerného počtu stromov na hektár, ktorých d</w:t>
      </w:r>
      <w:r w:rsidRPr="00381B8B">
        <w:rPr>
          <w:sz w:val="24"/>
          <w:szCs w:val="24"/>
          <w:vertAlign w:val="subscript"/>
        </w:rPr>
        <w:t xml:space="preserve">1,3 </w:t>
      </w:r>
      <w:r w:rsidRPr="00381B8B">
        <w:rPr>
          <w:sz w:val="24"/>
          <w:szCs w:val="24"/>
        </w:rPr>
        <w:t>&gt; 7 cm a na základe kvadratického priemeru hrúbok (QMD), ktorý sa vypočíta ako druhá odmocnina zo sumy d</w:t>
      </w:r>
      <w:r w:rsidRPr="00381B8B">
        <w:rPr>
          <w:sz w:val="24"/>
          <w:szCs w:val="24"/>
          <w:vertAlign w:val="subscript"/>
        </w:rPr>
        <w:t xml:space="preserve">1,3 </w:t>
      </w:r>
      <w:r w:rsidRPr="00381B8B">
        <w:rPr>
          <w:sz w:val="24"/>
          <w:szCs w:val="24"/>
        </w:rPr>
        <w:t xml:space="preserve">&gt; 7 cm umocnených na druhú a vydelenej počtom meraných stromov (n):   </w:t>
      </w:r>
    </w:p>
    <w:p w:rsidR="00381B8B" w:rsidRPr="00381B8B" w:rsidRDefault="00381B8B" w:rsidP="00381B8B">
      <w:pPr>
        <w:ind w:firstLine="708"/>
        <w:rPr>
          <w:sz w:val="24"/>
          <w:szCs w:val="24"/>
        </w:rPr>
      </w:pPr>
    </w:p>
    <w:p w:rsidR="00381B8B" w:rsidRPr="00381B8B" w:rsidRDefault="00381B8B" w:rsidP="00381B8B">
      <w:pPr>
        <w:ind w:firstLine="708"/>
        <w:jc w:val="center"/>
        <w:rPr>
          <w:rFonts w:ascii="Cambria Math" w:hAnsi="Cambria Math"/>
          <w:sz w:val="24"/>
          <w:szCs w:val="24"/>
        </w:rPr>
      </w:pPr>
      <w:r w:rsidRPr="00381B8B">
        <w:rPr>
          <w:rFonts w:ascii="Cambria Math" w:hAnsi="Cambria Math"/>
          <w:sz w:val="28"/>
          <w:szCs w:val="28"/>
        </w:rPr>
        <w:t xml:space="preserve">QMD = 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1.3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rad>
      </m:oMath>
      <w:r w:rsidRPr="00381B8B">
        <w:rPr>
          <w:rFonts w:ascii="Cambria Math" w:hAnsi="Cambria Math"/>
          <w:sz w:val="24"/>
          <w:szCs w:val="24"/>
        </w:rPr>
        <w:t xml:space="preserve"> </w:t>
      </w:r>
    </w:p>
    <w:p w:rsidR="00381B8B" w:rsidRPr="00381B8B" w:rsidRDefault="00381B8B" w:rsidP="00381B8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3"/>
      </w:tblGrid>
      <w:tr w:rsidR="00381B8B" w:rsidRPr="00381B8B" w:rsidTr="006C5F32">
        <w:tc>
          <w:tcPr>
            <w:tcW w:w="6973" w:type="dxa"/>
            <w:shd w:val="clear" w:color="auto" w:fill="auto"/>
          </w:tcPr>
          <w:p w:rsidR="00381B8B" w:rsidRPr="00381B8B" w:rsidRDefault="00381B8B" w:rsidP="00381B8B">
            <w:pPr>
              <w:rPr>
                <w:sz w:val="24"/>
                <w:szCs w:val="24"/>
              </w:rPr>
            </w:pPr>
            <w:r w:rsidRPr="00381B8B">
              <w:rPr>
                <w:noProof/>
              </w:rPr>
              <w:lastRenderedPageBreak/>
              <w:drawing>
                <wp:inline distT="0" distB="0" distL="0" distR="0">
                  <wp:extent cx="4133850" cy="5419725"/>
                  <wp:effectExtent l="0" t="0" r="0" b="952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B8B" w:rsidRPr="00381B8B" w:rsidTr="006C5F32">
        <w:tc>
          <w:tcPr>
            <w:tcW w:w="6973" w:type="dxa"/>
            <w:shd w:val="clear" w:color="auto" w:fill="auto"/>
          </w:tcPr>
          <w:p w:rsidR="00381B8B" w:rsidRPr="00381B8B" w:rsidRDefault="00381B8B" w:rsidP="00381B8B">
            <w:pPr>
              <w:rPr>
                <w:sz w:val="22"/>
                <w:szCs w:val="22"/>
              </w:rPr>
            </w:pPr>
            <w:r w:rsidRPr="00381B8B">
              <w:rPr>
                <w:sz w:val="22"/>
                <w:szCs w:val="22"/>
              </w:rPr>
              <w:t>Obrázok 1</w:t>
            </w:r>
            <w:r w:rsidRPr="00381B8B">
              <w:rPr>
                <w:sz w:val="22"/>
                <w:szCs w:val="22"/>
              </w:rPr>
              <w:t xml:space="preserve">. </w:t>
            </w:r>
            <w:r w:rsidRPr="00381B8B">
              <w:rPr>
                <w:i/>
                <w:sz w:val="22"/>
                <w:szCs w:val="22"/>
              </w:rPr>
              <w:t xml:space="preserve">Density Management Diagram </w:t>
            </w:r>
            <w:r w:rsidRPr="00381B8B">
              <w:rPr>
                <w:sz w:val="22"/>
                <w:szCs w:val="22"/>
              </w:rPr>
              <w:t xml:space="preserve">(podľa Vacchiano a kol. 2013) pre hodnotenie stability smrekových porastov na základ počtu stromov na hektár (os X) a kvadratického priemeru hrúbok (os Y). </w:t>
            </w:r>
          </w:p>
        </w:tc>
      </w:tr>
    </w:tbl>
    <w:p w:rsidR="00381B8B" w:rsidRPr="00381B8B" w:rsidRDefault="00381B8B" w:rsidP="00381B8B">
      <w:pPr>
        <w:rPr>
          <w:sz w:val="24"/>
          <w:szCs w:val="24"/>
        </w:rPr>
      </w:pPr>
      <w:r w:rsidRPr="00381B8B">
        <w:rPr>
          <w:sz w:val="24"/>
          <w:szCs w:val="24"/>
        </w:rPr>
        <w:t xml:space="preserve"> 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  <w:u w:val="single"/>
        </w:rPr>
      </w:pPr>
      <w:r w:rsidRPr="00381B8B">
        <w:rPr>
          <w:sz w:val="24"/>
          <w:szCs w:val="24"/>
          <w:u w:val="single"/>
        </w:rPr>
        <w:t>Abiotické škodlivé činitele</w:t>
      </w:r>
    </w:p>
    <w:p w:rsidR="00381B8B" w:rsidRPr="00381B8B" w:rsidRDefault="00381B8B" w:rsidP="00381B8B">
      <w:pPr>
        <w:rPr>
          <w:sz w:val="24"/>
          <w:szCs w:val="24"/>
          <w:u w:val="single"/>
        </w:rPr>
      </w:pPr>
    </w:p>
    <w:p w:rsidR="00381B8B" w:rsidRPr="00381B8B" w:rsidRDefault="00381B8B" w:rsidP="00381B8B">
      <w:pPr>
        <w:ind w:firstLine="708"/>
        <w:rPr>
          <w:sz w:val="24"/>
          <w:szCs w:val="24"/>
        </w:rPr>
      </w:pPr>
      <w:r w:rsidRPr="00381B8B">
        <w:rPr>
          <w:sz w:val="24"/>
          <w:szCs w:val="24"/>
        </w:rPr>
        <w:t xml:space="preserve">Hodnotí sa prítomnosť poškodenia abiotickými faktormi, ako napríklad vývraty a zlomy spôsobené vetrom, snehom, prípadne narušenie porastu pôdnymi zosuvmi a podobne. Vizuálnym pozorovaním sa subjektívne odhadne miera poškodenia porastu v percentách. V prípade zobrazenia výsledkov cez pavučinový graf (Obrázok </w:t>
      </w:r>
      <w:r w:rsidRPr="00381B8B">
        <w:rPr>
          <w:sz w:val="24"/>
          <w:szCs w:val="24"/>
        </w:rPr>
        <w:t>2</w:t>
      </w:r>
      <w:r w:rsidRPr="00381B8B">
        <w:rPr>
          <w:sz w:val="24"/>
          <w:szCs w:val="24"/>
        </w:rPr>
        <w:t>), je potrebné zohľadniť to, že pri hodnotení percentuálnou škálou znamená 100% žiadne poškodenie abiotickými činiteľmi. Ak bol teda vplyv škodlivých činiteľov odhadnutý na úrovni 10%, v grafe sa použije hodnota 90%. Rovnaký prístup je potrebné uplatniť aj pri ostatných škodlivých činiteľoch.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  <w:u w:val="single"/>
        </w:rPr>
      </w:pPr>
      <w:r w:rsidRPr="00381B8B">
        <w:rPr>
          <w:sz w:val="24"/>
          <w:szCs w:val="24"/>
          <w:u w:val="single"/>
        </w:rPr>
        <w:t>Biotické škodlivé činitele</w:t>
      </w:r>
    </w:p>
    <w:p w:rsidR="00381B8B" w:rsidRPr="00381B8B" w:rsidRDefault="00381B8B" w:rsidP="00381B8B">
      <w:pPr>
        <w:ind w:firstLine="708"/>
        <w:rPr>
          <w:sz w:val="24"/>
          <w:szCs w:val="24"/>
        </w:rPr>
      </w:pPr>
      <w:r w:rsidRPr="00381B8B">
        <w:rPr>
          <w:sz w:val="24"/>
          <w:szCs w:val="24"/>
        </w:rPr>
        <w:t xml:space="preserve">Prítomnosť biotických škodlivých činiteľov (napríklad škody zverou, hubovými a hmyzími škodcami) a opäť odhad miery poškodenia lesného porastu v percentách. 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  <w:u w:val="single"/>
        </w:rPr>
      </w:pPr>
      <w:r w:rsidRPr="00381B8B">
        <w:rPr>
          <w:sz w:val="24"/>
          <w:szCs w:val="24"/>
          <w:u w:val="single"/>
        </w:rPr>
        <w:lastRenderedPageBreak/>
        <w:t>Antropogénne škodlivé činitele</w:t>
      </w:r>
    </w:p>
    <w:p w:rsidR="00381B8B" w:rsidRPr="00381B8B" w:rsidRDefault="00381B8B" w:rsidP="00381B8B">
      <w:pPr>
        <w:rPr>
          <w:sz w:val="24"/>
          <w:szCs w:val="24"/>
          <w:u w:val="single"/>
        </w:rPr>
      </w:pPr>
    </w:p>
    <w:p w:rsidR="00381B8B" w:rsidRPr="00381B8B" w:rsidRDefault="00381B8B" w:rsidP="00381B8B">
      <w:pPr>
        <w:ind w:firstLine="708"/>
        <w:rPr>
          <w:sz w:val="24"/>
          <w:szCs w:val="24"/>
        </w:rPr>
      </w:pPr>
      <w:r w:rsidRPr="00381B8B">
        <w:rPr>
          <w:sz w:val="24"/>
          <w:szCs w:val="24"/>
        </w:rPr>
        <w:t xml:space="preserve">Prítomnosť antropogénnych škodlivých činiteľov (napríklad imisie a následná defoliácia, poškodenie stromov nevhodnými ťažbovými operáciami a podobne) a odhad miery poškodenia lesného porastu v percentách. 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  <w:u w:val="single"/>
        </w:rPr>
      </w:pPr>
      <w:r w:rsidRPr="00381B8B">
        <w:rPr>
          <w:sz w:val="24"/>
          <w:szCs w:val="24"/>
          <w:u w:val="single"/>
        </w:rPr>
        <w:t>Autoregulačná schopnosť</w:t>
      </w:r>
    </w:p>
    <w:p w:rsidR="00381B8B" w:rsidRPr="00381B8B" w:rsidRDefault="00381B8B" w:rsidP="00381B8B">
      <w:pPr>
        <w:rPr>
          <w:sz w:val="24"/>
          <w:szCs w:val="24"/>
          <w:u w:val="single"/>
        </w:rPr>
      </w:pPr>
    </w:p>
    <w:p w:rsidR="00381B8B" w:rsidRPr="00381B8B" w:rsidRDefault="00381B8B" w:rsidP="00381B8B">
      <w:pPr>
        <w:ind w:firstLine="708"/>
        <w:rPr>
          <w:sz w:val="24"/>
          <w:szCs w:val="24"/>
        </w:rPr>
      </w:pPr>
      <w:r w:rsidRPr="00381B8B">
        <w:rPr>
          <w:sz w:val="24"/>
          <w:szCs w:val="24"/>
        </w:rPr>
        <w:t>Posúdenie miery autoregulácie lesného ekosystému je reprezentované najmä úrovňou regenerácie drevín (úspešnosť a vitalita zmladenia) a eliminácie vyššie zmienených škôd rôznymi formami adaptácie (zväčšovanie korún, zarastanie mechanického poškodenia a podobne). Hodnotenie je opäť subjektívne a stanovené v percentách.</w:t>
      </w:r>
    </w:p>
    <w:p w:rsidR="00381B8B" w:rsidRPr="00381B8B" w:rsidRDefault="00381B8B" w:rsidP="00381B8B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1"/>
      </w:tblGrid>
      <w:tr w:rsidR="00381B8B" w:rsidRPr="00381B8B" w:rsidTr="006C5F32">
        <w:tc>
          <w:tcPr>
            <w:tcW w:w="7371" w:type="dxa"/>
            <w:shd w:val="clear" w:color="auto" w:fill="auto"/>
          </w:tcPr>
          <w:p w:rsidR="00381B8B" w:rsidRPr="00381B8B" w:rsidRDefault="00381B8B" w:rsidP="00381B8B">
            <w:pPr>
              <w:rPr>
                <w:b/>
                <w:sz w:val="24"/>
                <w:szCs w:val="24"/>
              </w:rPr>
            </w:pPr>
            <w:r w:rsidRPr="00381B8B">
              <w:rPr>
                <w:noProof/>
                <w:sz w:val="24"/>
                <w:szCs w:val="24"/>
              </w:rPr>
              <w:drawing>
                <wp:inline distT="0" distB="0" distL="0" distR="0">
                  <wp:extent cx="4505325" cy="3552825"/>
                  <wp:effectExtent l="0" t="0" r="9525" b="9525"/>
                  <wp:docPr id="3" name="Obrázok 3" descr="C:\Users\Frantisek\_fero\publikovanie\skripta\Fytocenologia-Zaklady ekologie\NCV 2018\fm\semestralka-2\Ekol-stab-gr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:\Users\Frantisek\_fero\publikovanie\skripta\Fytocenologia-Zaklady ekologie\NCV 2018\fm\semestralka-2\Ekol-stab-gr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B8B" w:rsidRPr="00381B8B" w:rsidTr="006C5F32">
        <w:tc>
          <w:tcPr>
            <w:tcW w:w="7371" w:type="dxa"/>
            <w:shd w:val="clear" w:color="auto" w:fill="auto"/>
          </w:tcPr>
          <w:p w:rsidR="00381B8B" w:rsidRPr="00381B8B" w:rsidRDefault="00381B8B" w:rsidP="00381B8B">
            <w:pPr>
              <w:rPr>
                <w:b/>
                <w:sz w:val="22"/>
                <w:szCs w:val="22"/>
              </w:rPr>
            </w:pPr>
            <w:r w:rsidRPr="00381B8B">
              <w:rPr>
                <w:sz w:val="22"/>
                <w:szCs w:val="22"/>
              </w:rPr>
              <w:t xml:space="preserve">Obrázok </w:t>
            </w:r>
            <w:r w:rsidRPr="00381B8B">
              <w:rPr>
                <w:sz w:val="22"/>
                <w:szCs w:val="22"/>
              </w:rPr>
              <w:t>2</w:t>
            </w:r>
            <w:r w:rsidRPr="00381B8B">
              <w:rPr>
                <w:sz w:val="22"/>
                <w:szCs w:val="22"/>
              </w:rPr>
              <w:t>: Príklad grafického zhodnotenia ekologickej stability vybraného porastu. Vysoké hodnoty, resp. zaplnenie priestoru grafu znamená vysokú stabilitu.</w:t>
            </w:r>
          </w:p>
        </w:tc>
      </w:tr>
    </w:tbl>
    <w:p w:rsidR="00381B8B" w:rsidRPr="00381B8B" w:rsidRDefault="00381B8B" w:rsidP="00381B8B">
      <w:pPr>
        <w:rPr>
          <w:b/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  <w:sectPr w:rsidR="00381B8B" w:rsidRPr="00381B8B" w:rsidSect="00381B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1B8B" w:rsidRPr="00381B8B" w:rsidRDefault="00381B8B" w:rsidP="00381B8B">
      <w:pPr>
        <w:rPr>
          <w:sz w:val="22"/>
          <w:szCs w:val="22"/>
        </w:rPr>
      </w:pPr>
      <w:r w:rsidRPr="00381B8B">
        <w:rPr>
          <w:sz w:val="22"/>
          <w:szCs w:val="22"/>
        </w:rPr>
        <w:lastRenderedPageBreak/>
        <w:t>Príloha 1: Poznatková báza pôvodného (rekonštruovaného) drevinového zloženia pre vybrané plošne najvýznamnejšie SLT (prevzaté z práce Vladovič 2003).</w:t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b/>
          <w:sz w:val="28"/>
          <w:szCs w:val="28"/>
        </w:rPr>
      </w:pPr>
      <w:r w:rsidRPr="00381B8B">
        <w:rPr>
          <w:noProof/>
        </w:rPr>
        <w:drawing>
          <wp:inline distT="0" distB="0" distL="0" distR="0">
            <wp:extent cx="8848725" cy="45529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8B" w:rsidRPr="00381B8B" w:rsidRDefault="00381B8B" w:rsidP="00381B8B">
      <w:pPr>
        <w:rPr>
          <w:b/>
          <w:sz w:val="28"/>
          <w:szCs w:val="28"/>
        </w:rPr>
      </w:pPr>
    </w:p>
    <w:p w:rsidR="00381B8B" w:rsidRPr="00381B8B" w:rsidRDefault="00381B8B" w:rsidP="00381B8B">
      <w:pPr>
        <w:rPr>
          <w:b/>
          <w:sz w:val="28"/>
          <w:szCs w:val="28"/>
        </w:rPr>
      </w:pPr>
    </w:p>
    <w:p w:rsidR="00381B8B" w:rsidRPr="00381B8B" w:rsidRDefault="00381B8B" w:rsidP="00381B8B">
      <w:pPr>
        <w:rPr>
          <w:b/>
          <w:sz w:val="28"/>
          <w:szCs w:val="28"/>
        </w:rPr>
      </w:pPr>
    </w:p>
    <w:p w:rsidR="00381B8B" w:rsidRPr="00381B8B" w:rsidRDefault="00381B8B" w:rsidP="00381B8B">
      <w:pPr>
        <w:rPr>
          <w:b/>
          <w:sz w:val="28"/>
          <w:szCs w:val="28"/>
        </w:rPr>
      </w:pPr>
    </w:p>
    <w:p w:rsidR="00381B8B" w:rsidRPr="00381B8B" w:rsidRDefault="00381B8B" w:rsidP="00381B8B">
      <w:pPr>
        <w:rPr>
          <w:b/>
          <w:sz w:val="28"/>
          <w:szCs w:val="28"/>
        </w:rPr>
      </w:pPr>
    </w:p>
    <w:p w:rsidR="00381B8B" w:rsidRPr="00381B8B" w:rsidRDefault="00381B8B" w:rsidP="00381B8B">
      <w:pPr>
        <w:framePr w:hSpace="180" w:wrap="notBeside" w:vAnchor="text" w:hAnchor="text" w:y="1"/>
        <w:outlineLvl w:val="0"/>
      </w:pPr>
      <w:r w:rsidRPr="00381B8B">
        <w:rPr>
          <w:noProof/>
        </w:rPr>
        <w:drawing>
          <wp:inline distT="0" distB="0" distL="0" distR="0">
            <wp:extent cx="8782050" cy="3686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  <w:sectPr w:rsidR="00381B8B" w:rsidRPr="00381B8B" w:rsidSect="009A3CD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</w:pPr>
    </w:p>
    <w:p w:rsidR="00381B8B" w:rsidRPr="00381B8B" w:rsidRDefault="00381B8B" w:rsidP="00381B8B">
      <w:pPr>
        <w:rPr>
          <w:sz w:val="24"/>
          <w:szCs w:val="24"/>
        </w:rPr>
        <w:sectPr w:rsidR="00381B8B" w:rsidRPr="00381B8B" w:rsidSect="009A3CD8">
          <w:endnotePr>
            <w:numFmt w:val="decimal"/>
          </w:endnotePr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81B8B" w:rsidRPr="00381B8B" w:rsidRDefault="00381B8B" w:rsidP="00381B8B">
      <w:pPr>
        <w:rPr>
          <w:sz w:val="22"/>
          <w:szCs w:val="22"/>
        </w:rPr>
      </w:pPr>
      <w:r w:rsidRPr="00381B8B">
        <w:rPr>
          <w:sz w:val="22"/>
          <w:szCs w:val="22"/>
        </w:rPr>
        <w:lastRenderedPageBreak/>
        <w:t>Skratky drevín použitých v prílohe 1</w:t>
      </w:r>
    </w:p>
    <w:tbl>
      <w:tblPr>
        <w:tblW w:w="447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3405"/>
        <w:gridCol w:w="3812"/>
      </w:tblGrid>
      <w:tr w:rsidR="00381B8B" w:rsidRPr="00381B8B" w:rsidTr="006C5F32">
        <w:trPr>
          <w:trHeight w:val="255"/>
        </w:trPr>
        <w:tc>
          <w:tcPr>
            <w:tcW w:w="536" w:type="pc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b/>
              </w:rPr>
            </w:pPr>
            <w:r w:rsidRPr="00381B8B">
              <w:rPr>
                <w:b/>
              </w:rPr>
              <w:t>Skratka</w:t>
            </w:r>
          </w:p>
        </w:tc>
        <w:tc>
          <w:tcPr>
            <w:tcW w:w="2106" w:type="pc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b/>
              </w:rPr>
            </w:pPr>
            <w:r w:rsidRPr="00381B8B">
              <w:rPr>
                <w:b/>
              </w:rPr>
              <w:t>Slovenský názov</w:t>
            </w:r>
          </w:p>
        </w:tc>
        <w:tc>
          <w:tcPr>
            <w:tcW w:w="2358" w:type="pc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b/>
              </w:rPr>
            </w:pPr>
            <w:r w:rsidRPr="00381B8B">
              <w:rPr>
                <w:b/>
              </w:rPr>
              <w:t>Latinský názov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JD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Jedľa biela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Abies alba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JO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Jedľa obrovská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Abies grandis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SC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Smrekovec opadavý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Larix decidua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SM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Smrek obyčajný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Picea abies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SO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Smrek omorikový (omorika)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Picea omorica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SP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Smrek pichľavý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Picea pungens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LB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Borovica limbová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Pinus cembra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KS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Borovica horská (kosodrevina)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Pinus mugo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BC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Borovica čierna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Pinus nigra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VJ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Borovica hladká (vejmutovka)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Pinus strobus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BO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Borovica lesná (sosna)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Pinus sylvestris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DG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Duglaska tisolistá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Pseudotsuga menziesii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TX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Tis obyčajný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Taxus baccata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ON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Ostatné nahosemenné (ihličnaté)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i/>
              </w:rPr>
            </w:pP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JP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Javor poľný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Acer campestre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JJ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Javorovec jaseňolistý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>Acer negundo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JM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Javor mliečny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Acer platanoides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JH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Javor horský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Acer pseudoplatanus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JT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Javor tatársky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Acer tataricum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GK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Pagaštan konský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Aesculus hippocastanum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PJ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Pajasen žliazkatý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>Ailanthus altissima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JL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Jelša lepkavá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Alnus glutinosa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JX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Jelša sivá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Alnus incana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BR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Breza bradavičnatá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Betula pendula syn. Betula verrucosa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BL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Breza plstnatá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Betula pubescens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HB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Hrab obyčajný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Carpinus betulus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GJ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Gaštan jedlý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Castanea sativa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BK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Buk lesný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Fagus sylvatica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JU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Jaseň úzkolistý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Fraxinus angustifolia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JS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Jaseň štíhly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Fraxinus excelsior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JK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Jaseň manový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Fraxinus ornus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OC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Orech čierny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Juglans nigra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OV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Orech vlašský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Juglans regia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JN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Jabloň planá (plánka)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Malus sylvestris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TP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Čremcha obyčajná (tŕpka)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Padus avium syn. Padus racemosa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PL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Platan západný a východný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>Platanus occidentalis, orientalis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TB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Topoľ biely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Populus alba, P. canescens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TC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Topoľ čierny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Populus nigra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OS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Topoľ osikový (osika)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Populus tremula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TR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Topoľ Robusta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>Populus x euroamericana (‘Robusta’)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TS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Topoľ šľachtený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Populus x hybr.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TI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 xml:space="preserve">Topoľ I214 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>Populusx euroamericana (‘I-214’)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CS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Čerešňa vtáčia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Prunus avium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MH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Čerešňa mahalebková (mahalebka)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>Prunus mahaleb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HR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Hruška obyčajná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Pyrus pyraster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CR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Dub cerový (cer)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Quercus cerris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DZ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Dub zimný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Quercus petraea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DP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Dub plstnatý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Quercus pubescens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lastRenderedPageBreak/>
              <w:t>DL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Dub letný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Quercus robur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DC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Dub červený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Quercus rubra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AG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Agát biely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Robinia pseudoaccacia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VB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Vŕba biela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Salix alba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VR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Vŕba rakyta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>Salix caprea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VF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Vŕba krehká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Salix fragilis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MK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Jarabina mukyňová (mukyňa)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Sorbus aria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JB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Jarabina vtáčia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Sorbus aucuparia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OK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Jarabina oskorušová (oskoruša)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Sorbus domestica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BX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Jarabina brekyňová (brekyňa)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Sorbus torminalis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LM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Lipa malolistá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Tilia cordata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LV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Lipa veľkolistá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Tilia platyphyllos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VZ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Brest väzový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Ulmus laevis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BP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Brest poľný (hrabolistý)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Ulmus minor syn. Ulmus carpinifolia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BH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Brest horský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i/>
              </w:rPr>
              <w:t xml:space="preserve">Ulmus montana syn. Ulmus glabra 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OL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</w:rPr>
            </w:pPr>
            <w:r w:rsidRPr="00381B8B">
              <w:t>Ostatne krytosemenné (listnaté)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r w:rsidRPr="00381B8B">
              <w:t>MO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r w:rsidRPr="00381B8B">
              <w:t>Moruša biela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rFonts w:eastAsia="Arial Unicode MS"/>
                <w:i/>
              </w:rPr>
              <w:t>Morus alba</w:t>
            </w:r>
          </w:p>
        </w:tc>
      </w:tr>
      <w:tr w:rsidR="00381B8B" w:rsidRPr="00381B8B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r w:rsidRPr="00381B8B">
              <w:t>SL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r w:rsidRPr="00381B8B">
              <w:t>Slivka domáca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rFonts w:eastAsia="Arial Unicode MS"/>
                <w:i/>
              </w:rPr>
              <w:t>Prunus domestica</w:t>
            </w:r>
          </w:p>
        </w:tc>
      </w:tr>
      <w:tr w:rsidR="00381B8B" w:rsidRPr="008745FC" w:rsidTr="006C5F32">
        <w:trPr>
          <w:trHeight w:val="255"/>
        </w:trPr>
        <w:tc>
          <w:tcPr>
            <w:tcW w:w="53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r w:rsidRPr="00381B8B">
              <w:t>CT</w:t>
            </w:r>
          </w:p>
        </w:tc>
        <w:tc>
          <w:tcPr>
            <w:tcW w:w="21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381B8B" w:rsidRDefault="00381B8B" w:rsidP="00381B8B">
            <w:r w:rsidRPr="00381B8B">
              <w:t>Brestovec južný</w:t>
            </w:r>
          </w:p>
        </w:tc>
        <w:tc>
          <w:tcPr>
            <w:tcW w:w="23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81B8B" w:rsidRPr="008745FC" w:rsidRDefault="00381B8B" w:rsidP="00381B8B">
            <w:pPr>
              <w:rPr>
                <w:rFonts w:eastAsia="Arial Unicode MS"/>
                <w:i/>
              </w:rPr>
            </w:pPr>
            <w:r w:rsidRPr="00381B8B">
              <w:rPr>
                <w:rFonts w:eastAsia="Arial Unicode MS"/>
                <w:i/>
              </w:rPr>
              <w:t>Celtis australis</w:t>
            </w:r>
            <w:bookmarkStart w:id="0" w:name="_GoBack"/>
            <w:bookmarkEnd w:id="0"/>
          </w:p>
        </w:tc>
      </w:tr>
    </w:tbl>
    <w:p w:rsidR="00381B8B" w:rsidRPr="008745FC" w:rsidRDefault="00381B8B" w:rsidP="00381B8B">
      <w:pPr>
        <w:rPr>
          <w:b/>
          <w:sz w:val="28"/>
          <w:szCs w:val="28"/>
        </w:rPr>
      </w:pPr>
    </w:p>
    <w:p w:rsidR="00381B8B" w:rsidRPr="008745FC" w:rsidRDefault="00381B8B" w:rsidP="00381B8B">
      <w:pPr>
        <w:rPr>
          <w:b/>
          <w:sz w:val="28"/>
          <w:szCs w:val="28"/>
        </w:rPr>
      </w:pPr>
    </w:p>
    <w:p w:rsidR="009C0B1E" w:rsidRDefault="009C0B1E" w:rsidP="00381B8B"/>
    <w:sectPr w:rsidR="009C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319"/>
    <w:multiLevelType w:val="hybridMultilevel"/>
    <w:tmpl w:val="5C18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07F4"/>
    <w:multiLevelType w:val="hybridMultilevel"/>
    <w:tmpl w:val="92B6F3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6839"/>
    <w:multiLevelType w:val="hybridMultilevel"/>
    <w:tmpl w:val="F978307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0483"/>
    <w:multiLevelType w:val="hybridMultilevel"/>
    <w:tmpl w:val="7400C3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747C1"/>
    <w:multiLevelType w:val="hybridMultilevel"/>
    <w:tmpl w:val="9586DD48"/>
    <w:lvl w:ilvl="0" w:tplc="F7401E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8B"/>
    <w:rsid w:val="00381B8B"/>
    <w:rsid w:val="009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DDB66"/>
  <w15:chartTrackingRefBased/>
  <w15:docId w15:val="{B1A1D2FB-FDFB-4D50-9D04-8E3D63A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81B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81B8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o.enviroportal.sk/atlass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erver.geology.sk/gm50js/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gis.nlcsk.org/lgis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2349</Words>
  <Characters>13391</Characters>
  <Application>Microsoft Office Word</Application>
  <DocSecurity>0</DocSecurity>
  <Lines>111</Lines>
  <Paragraphs>31</Paragraphs>
  <ScaleCrop>false</ScaleCrop>
  <Company>TU-Zvolen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</dc:creator>
  <cp:keywords/>
  <dc:description/>
  <cp:lastModifiedBy>Fero</cp:lastModifiedBy>
  <cp:revision>1</cp:revision>
  <dcterms:created xsi:type="dcterms:W3CDTF">2018-09-26T08:13:00Z</dcterms:created>
  <dcterms:modified xsi:type="dcterms:W3CDTF">2018-09-26T08:19:00Z</dcterms:modified>
</cp:coreProperties>
</file>